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4.2.0.0 -->
  <w:body>
    <w:p w:rsidR="00A77B3E">
      <w:pPr>
        <w:keepLines w:val="0"/>
        <w:spacing w:after="400" w:line="360" w:lineRule="auto"/>
        <w:ind w:firstLine="120"/>
        <w:jc w:val="center"/>
      </w:pPr>
      <w:r>
        <w:rPr>
          <w:b/>
          <w:sz w:val="32"/>
        </w:rPr>
        <w:t>河南省2021第二季度工程勘察设计行业调研问卷</w:t>
      </w:r>
    </w:p>
    <w:p w:rsidR="00A77B3E">
      <w:pPr>
        <w:rPr>
          <w:b/>
          <w:sz w:val="32"/>
        </w:rPr>
      </w:pPr>
    </w:p>
    <w:p>
      <w:pPr>
        <w:bidi w:val="0"/>
      </w:pPr>
      <w:r>
        <w:rPr>
          <w:rStyle w:val="DefaultParagraphFont"/>
          <w:color w:val="666666"/>
          <w:bdr w:val="nil"/>
          <w:rtl w:val="0"/>
        </w:rPr>
        <w:t>      为了更好地了解贵单位对工程勘察设计行业发展现状的感知和对未来形势的预判，特组织此次问卷调研。此次调研分析材料仅作为本次交流沟通使用，并最终形成专项调研分析报告，免费反馈给参加调研的各家单位，感谢您的积极参与和配合！</w:t>
      </w:r>
      <w:r>
        <w:rPr>
          <w:rStyle w:val="DefaultParagraphFont"/>
          <w:color w:val="666666"/>
          <w:bdr w:val="nil"/>
          <w:rtl w:val="0"/>
        </w:rPr>
        <w:t xml:space="preserve"> </w:t>
      </w:r>
    </w:p>
    <w:p>
      <w:pPr>
        <w:bidi w:val="0"/>
        <w:jc w:val="right"/>
        <w:rPr>
          <w:rStyle w:val="DefaultParagraphFont"/>
          <w:color w:val="666666"/>
          <w:bdr w:val="nil"/>
          <w:rtl w:val="0"/>
        </w:rPr>
      </w:pPr>
      <w:r>
        <w:rPr>
          <w:rStyle w:val="DefaultParagraphFont"/>
          <w:color w:val="666666"/>
          <w:bdr w:val="nil"/>
          <w:rtl w:val="0"/>
        </w:rPr>
        <w:t>河南省工程勘察设计行业协会</w:t>
      </w:r>
    </w:p>
    <w:p>
      <w:pPr>
        <w:keepLines w:val="0"/>
        <w:spacing w:line="360" w:lineRule="auto"/>
        <w:jc w:val="left"/>
        <w:rPr>
          <w:rStyle w:val="DefaultParagraphFont"/>
          <w:color w:val="666666"/>
          <w:bdr w:val="nil"/>
          <w:rtl w:val="0"/>
        </w:rPr>
      </w:pPr>
    </w:p>
    <w:p>
      <w:pPr>
        <w:bidi w:val="0"/>
        <w:spacing w:line="360" w:lineRule="auto"/>
        <w:rPr>
          <w:rFonts w:ascii="Microsoft YaHei" w:eastAsia="Microsoft YaHei" w:hAnsi="Microsoft YaHei" w:cs="Microsoft YaHei"/>
          <w:sz w:val="28"/>
        </w:rPr>
      </w:pPr>
      <w:r>
        <w:rPr>
          <w:rStyle w:val="DefaultParagraphFont"/>
          <w:bdr w:val="nil"/>
          <w:rtl w:val="0"/>
        </w:rPr>
        <w:t>1. 贵单位的企业性质为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2440"/>
        <w:gridCol w:w="2440"/>
        <w:gridCol w:w="244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○国有企业</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○事业单位</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○民营企业</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○外资/合资企业</w:t>
            </w:r>
          </w:p>
        </w:tc>
        <w:tc>
          <w:tcPr>
            <w:shd w:val="clear" w:color="auto" w:fill="FFFFFF"/>
            <w:vAlign w:val="center"/>
          </w:tcPr>
          <w:p>
            <w:pPr>
              <w:bidi w:val="0"/>
              <w:jc w:val="left"/>
              <w:rPr>
                <w:rFonts w:ascii="Microsoft YaHei" w:eastAsia="Microsoft YaHei" w:hAnsi="Microsoft YaHei" w:cs="Microsoft YaHei"/>
                <w:b w:val="0"/>
                <w:sz w:val="28"/>
              </w:rPr>
            </w:pPr>
          </w:p>
        </w:tc>
        <w:tc>
          <w:tcPr>
            <w:shd w:val="clear" w:color="auto" w:fill="FFFFFF"/>
            <w:vAlign w:val="center"/>
          </w:tcPr>
          <w:p>
            <w:pPr>
              <w:bidi w:val="0"/>
              <w:jc w:val="left"/>
              <w:rPr>
                <w:rFonts w:ascii="Microsoft YaHei" w:eastAsia="Microsoft YaHei" w:hAnsi="Microsoft YaHei" w:cs="Microsoft YaHei"/>
                <w:b w:val="0"/>
                <w:sz w:val="28"/>
              </w:rPr>
            </w:pPr>
          </w:p>
        </w:tc>
      </w:tr>
    </w:tbl>
    <w:p/>
    <w:p>
      <w:pPr>
        <w:bidi w:val="0"/>
        <w:spacing w:line="360" w:lineRule="auto"/>
      </w:pPr>
      <w:r>
        <w:rPr>
          <w:rStyle w:val="DefaultParagraphFont"/>
          <w:bdr w:val="nil"/>
          <w:rtl w:val="0"/>
        </w:rPr>
        <w:t>2. 贵单位的主营业务所属行业类别为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○工程勘察类</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○交通设计类</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○市政设计类</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○建筑设计类</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○水利设计类</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○工业工程设计类（包括煤炭、石化、电力、军工、机械、轻纺、建材等）</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○专项设计类（包括装饰、环境工程、幕墙等）</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○其他类 _________________</w:t>
            </w:r>
          </w:p>
        </w:tc>
      </w:tr>
    </w:tbl>
    <w:p/>
    <w:p>
      <w:pPr>
        <w:bidi w:val="0"/>
        <w:spacing w:line="360" w:lineRule="auto"/>
      </w:pPr>
      <w:r>
        <w:rPr>
          <w:rStyle w:val="DefaultParagraphFont"/>
          <w:bdr w:val="nil"/>
          <w:rtl w:val="0"/>
        </w:rPr>
        <w:t>3. 贵单位的人员规模为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○50人以下</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○50-199人</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○200-499人</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○500-799人</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○800人以上</w:t>
            </w:r>
          </w:p>
        </w:tc>
      </w:tr>
    </w:tbl>
    <w:p/>
    <w:p>
      <w:pPr>
        <w:bidi w:val="0"/>
        <w:spacing w:line="360" w:lineRule="auto"/>
      </w:pPr>
      <w:r>
        <w:rPr>
          <w:rStyle w:val="DefaultParagraphFont"/>
          <w:bdr w:val="nil"/>
          <w:rtl w:val="0"/>
        </w:rPr>
        <w:t>4. 贵单位的营收规模为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
      <w:tblGrid>
        <w:gridCol w:w="2440"/>
        <w:gridCol w:w="2440"/>
        <w:gridCol w:w="244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○5000万以内</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○5000万-1亿</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○1-5亿</w:t>
            </w:r>
          </w:p>
        </w:tc>
      </w:tr>
      <w:tr>
        <w:tblPrEx>
          <w:tblW w:w="5000" w:type="pct"/>
          <w:jc w:val="left"/>
          <w:tblLayout w:type="fixed"/>
          <w:tblCellMar>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○5-10亿</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○10-50亿</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○50亿以上</w:t>
            </w:r>
          </w:p>
        </w:tc>
      </w:tr>
    </w:tbl>
    <w:p/>
    <w:p>
      <w:pPr>
        <w:bidi w:val="0"/>
        <w:spacing w:line="360" w:lineRule="auto"/>
      </w:pPr>
      <w:r>
        <w:rPr>
          <w:rStyle w:val="DefaultParagraphFont"/>
          <w:sz w:val="21"/>
          <w:szCs w:val="21"/>
          <w:bdr w:val="nil"/>
          <w:rtl w:val="0"/>
        </w:rPr>
        <w:t>说明：考虑到2020年第二季度疫情对企业生产经营活动的影响，本期指数分别与往期水平和上一季度进行对比，并对下一季度进行预测。</w:t>
      </w:r>
    </w:p>
    <w:p/>
    <w:p>
      <w:pPr>
        <w:bidi w:val="0"/>
        <w:spacing w:line="360" w:lineRule="auto"/>
      </w:pPr>
      <w:r>
        <w:rPr>
          <w:rStyle w:val="DefaultParagraphFont"/>
          <w:bdr w:val="nil"/>
          <w:rtl w:val="0"/>
        </w:rPr>
        <w:t>5. 贵单位对河南省固定资产投资的判断[矩阵量表题]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6. 贵单位面临的市场需求总量[矩阵量表题]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7. 贵单位面临的市场竞争形势[矩阵量表题]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变好</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变差</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8. 贵单位面临的市场经营风险[矩阵量表题]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变好</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变差</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9. 贵单位的新签合同额[矩阵量表题]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增长</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10. 贵单位的营业收入[矩阵量表题]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增长</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11. 贵单位的毛利率[矩阵量表题]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增长</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12. 贵单位的收现比[矩阵量表题]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增长</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13. 贵单位的现金流[矩阵量表题]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变好</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变差</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14. 贵单位的生产经营人数[矩阵量表题]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15. 贵单位的科研投入[矩阵量表题]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16. 贵单位的非主营地区的营业收入[矩阵量表题]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pPr>
      <w:r>
        <w:rPr>
          <w:rStyle w:val="DefaultParagraphFont"/>
          <w:bdr w:val="nil"/>
          <w:rtl w:val="0"/>
        </w:rPr>
        <w:t>17. 贵单位的培育业务的营业收入[矩阵量表题]</w:t>
      </w:r>
    </w:p>
    <w:p>
      <w:pPr>
        <w:pBdr>
          <w:left w:val="nil"/>
        </w:pBdr>
        <w:bidi w:val="0"/>
        <w:spacing w:before="75" w:beforeAutospacing="0" w:after="75" w:afterAutospacing="0"/>
        <w:ind w:left="180"/>
      </w:pPr>
      <w:r>
        <w:rPr>
          <w:rStyle w:val="DefaultParagraphFont"/>
          <w:color w:val="999999"/>
          <w:bdr w:val="nil"/>
          <w:rtl w:val="0"/>
        </w:rPr>
        <w:t>（培育业务即目前贵单位大力培育的新业务等）</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18. 贵单位已签项目的平均设计费用率[矩阵量表题]</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2440"/>
        <w:gridCol w:w="2440"/>
        <w:gridCol w:w="244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r>
              <w:t>增加</w:t>
            </w:r>
          </w:p>
        </w:tc>
        <w:tc>
          <w:tcPr>
            <w:shd w:val="clear" w:color="auto" w:fill="D9E5ED"/>
            <w:vAlign w:val="center"/>
          </w:tcPr>
          <w:p>
            <w:pPr>
              <w:spacing w:line="360" w:lineRule="auto"/>
              <w:jc w:val="center"/>
            </w:pPr>
            <w:r>
              <w:t>基本持平</w:t>
            </w:r>
          </w:p>
        </w:tc>
        <w:tc>
          <w:tcPr>
            <w:shd w:val="clear" w:color="auto" w:fill="D9E5ED"/>
            <w:vAlign w:val="center"/>
          </w:tcPr>
          <w:p>
            <w:pPr>
              <w:spacing w:line="360" w:lineRule="auto"/>
              <w:jc w:val="center"/>
            </w:pPr>
            <w:r>
              <w:t>减少</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0066FF"/>
              </w:rPr>
              <w:t>本季度</w:t>
            </w:r>
          </w:p>
        </w:tc>
        <w:tc>
          <w:tcPr>
            <w:gridSpan w:val="3"/>
            <w:shd w:val="clear" w:color="auto" w:fill="FFFFFF"/>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0066FF"/>
              </w:rPr>
            </w:pPr>
            <w:r>
              <w:rPr>
                <w:color w:val="333333"/>
              </w:rPr>
              <w:t>与2020Q2相比</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c>
          <w:tcPr>
            <w:shd w:val="clear" w:color="auto" w:fill="EFF6FB"/>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与2021Q1相比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0066FF"/>
              </w:rPr>
              <w:t>下季度（预测）</w:t>
            </w:r>
          </w:p>
        </w:tc>
        <w:tc>
          <w:tcPr>
            <w:gridSpan w:val="3"/>
            <w:shd w:val="clear" w:color="auto" w:fill="EFF6FB"/>
            <w:vAlign w:val="center"/>
          </w:tcPr>
          <w:p>
            <w:pPr>
              <w:spacing w:line="360" w:lineRule="auto"/>
              <w:jc w:val="center"/>
              <w:rPr>
                <w:color w:val="0066FF"/>
              </w:rP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0066FF"/>
              </w:rPr>
            </w:pPr>
            <w:r>
              <w:rPr>
                <w:color w:val="333333"/>
              </w:rPr>
              <w:t>与2020Q3相比</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c>
          <w:tcPr>
            <w:shd w:val="clear" w:color="auto" w:fill="FFFFFF"/>
            <w:vAlign w:val="center"/>
          </w:tcPr>
          <w:p>
            <w:pPr>
              <w:spacing w:line="360" w:lineRule="auto"/>
              <w:jc w:val="center"/>
              <w:rPr>
                <w:color w:val="333333"/>
              </w:rPr>
            </w:pPr>
            <w:r>
              <w:rPr>
                <w:color w:val="333333"/>
              </w:rPr>
              <w:t>○</w:t>
            </w:r>
          </w:p>
        </w:tc>
      </w:tr>
    </w:tbl>
    <w:p/>
    <w:p>
      <w:pPr>
        <w:bidi w:val="0"/>
        <w:spacing w:line="360" w:lineRule="auto"/>
      </w:pPr>
      <w:r>
        <w:rPr>
          <w:rStyle w:val="DefaultParagraphFont"/>
          <w:bdr w:val="nil"/>
          <w:rtl w:val="0"/>
        </w:rPr>
        <w:t>19. 贵单位本季度应收款回收周期情况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○甲方拖欠账款影响严重</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○甲方拖欠账款影响一般，有所拖欠但无影响</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○甲方没有拖欠账款现象</w:t>
            </w:r>
          </w:p>
        </w:tc>
      </w:tr>
    </w:tbl>
    <w:p/>
    <w:p>
      <w:pPr>
        <w:bidi w:val="0"/>
        <w:spacing w:line="360" w:lineRule="auto"/>
      </w:pPr>
      <w:r>
        <w:rPr>
          <w:rStyle w:val="DefaultParagraphFont"/>
          <w:bdr w:val="nil"/>
          <w:rtl w:val="0"/>
        </w:rPr>
        <w:t>20. 以下河南省二季度发布的政策文件中提及的内容，贵单位更加关注哪些方面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□重点项目建设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□“四好农村路”建设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□乡村建设行动实施方案</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□城区消费高地建设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□特色文旅消费</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□新型基础设施建设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 _________________</w:t>
            </w:r>
          </w:p>
        </w:tc>
      </w:tr>
    </w:tbl>
    <w:p/>
    <w:p>
      <w:pPr>
        <w:bidi w:val="0"/>
        <w:spacing w:line="360" w:lineRule="auto"/>
      </w:pPr>
      <w:r>
        <w:rPr>
          <w:rStyle w:val="DefaultParagraphFont"/>
          <w:bdr w:val="nil"/>
          <w:rtl w:val="0"/>
        </w:rPr>
        <w:t>21. 以下河南省二季度发布的行业相关政策文件及举办的活动，贵单位更加关注哪些方面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□加强工程施工发包与承包监管</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□勘察企业资质核准等审批事项下放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□工程造价市场化改革实施方案（征求意见稿）</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□河南省BIM技术服务计费参考依据</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□专业技术人员继续教育</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 _________________</w:t>
            </w:r>
          </w:p>
        </w:tc>
      </w:tr>
    </w:tbl>
    <w:p/>
    <w:p>
      <w:pPr>
        <w:bidi w:val="0"/>
        <w:spacing w:line="360" w:lineRule="auto"/>
      </w:pPr>
      <w:r>
        <w:rPr>
          <w:rStyle w:val="DefaultParagraphFont"/>
          <w:bdr w:val="nil"/>
          <w:rtl w:val="0"/>
        </w:rPr>
        <w:t>22. 贵单位是否参与到河南省2021年重点项目建设中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○是</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○否</w:t>
            </w:r>
          </w:p>
        </w:tc>
      </w:tr>
    </w:tbl>
    <w:p/>
    <w:p>
      <w:pPr>
        <w:bidi w:val="0"/>
        <w:spacing w:line="360" w:lineRule="auto"/>
      </w:pPr>
      <w:r>
        <w:rPr>
          <w:rStyle w:val="DefaultParagraphFont"/>
          <w:bdr w:val="nil"/>
          <w:rtl w:val="0"/>
        </w:rPr>
        <w:t>23. 面对河南省2021年重点项目建设，贵单位具体参与到以下哪些领域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3680"/>
        <w:gridCol w:w="368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□新型基础设施</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□新型城镇化</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□重大基础设施</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□产业结构优化升级</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□创新驱动</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□生态环保</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□社会民生</w:t>
            </w:r>
          </w:p>
        </w:tc>
        <w:tc>
          <w:tcPr>
            <w:shd w:val="clear" w:color="auto" w:fill="FFFFFF"/>
            <w:vAlign w:val="center"/>
          </w:tcPr>
          <w:p>
            <w:pPr>
              <w:bidi w:val="0"/>
              <w:jc w:val="left"/>
              <w:rPr>
                <w:rFonts w:ascii="Microsoft YaHei" w:eastAsia="Microsoft YaHei" w:hAnsi="Microsoft YaHei" w:cs="Microsoft YaHei"/>
                <w:b w:val="0"/>
                <w:sz w:val="28"/>
              </w:rPr>
            </w:pPr>
          </w:p>
        </w:tc>
      </w:tr>
    </w:tbl>
    <w:p/>
    <w:p>
      <w:pPr>
        <w:bidi w:val="0"/>
        <w:spacing w:line="360" w:lineRule="auto"/>
      </w:pPr>
      <w:r>
        <w:rPr>
          <w:rStyle w:val="DefaultParagraphFont"/>
          <w:bdr w:val="nil"/>
          <w:rtl w:val="0"/>
        </w:rPr>
        <w:t>24. 面对日益激烈的竞争环境，贵单位是否有引进优质战略投资者的打算 [单选题]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○有，但对方不能控股</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○有，对方可以控股</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○有，对方须全资收购</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○无，暂不考虑引入战略投资者</w:t>
            </w:r>
          </w:p>
        </w:tc>
      </w:tr>
    </w:tbl>
    <w:p/>
    <w:p>
      <w:pPr>
        <w:bidi w:val="0"/>
        <w:spacing w:line="360" w:lineRule="auto"/>
      </w:pPr>
      <w:r>
        <w:rPr>
          <w:rStyle w:val="DefaultParagraphFont"/>
          <w:bdr w:val="nil"/>
          <w:rtl w:val="0"/>
        </w:rPr>
        <w:t>25. 如果贵单位考虑引进战略投资者，对于引入的投资者有哪些诉求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740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□战略投资者具有央企国企背景</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□战略投资者为民营企业</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□本省企业</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□业务可形成互补</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□能够提升技术实力</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□能够借助平台提供业务支撑</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□无引入战略投资者打算</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 _________________</w:t>
            </w:r>
          </w:p>
        </w:tc>
      </w:tr>
    </w:tbl>
    <w:p/>
    <w:p>
      <w:pPr>
        <w:bidi w:val="0"/>
        <w:spacing w:line="360" w:lineRule="auto"/>
      </w:pPr>
      <w:r>
        <w:rPr>
          <w:rStyle w:val="DefaultParagraphFont"/>
          <w:bdr w:val="nil"/>
          <w:rtl w:val="0"/>
        </w:rPr>
        <w:t>26. 2021年，贵单位更加关注以下哪些行业政策改革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3680"/>
        <w:gridCol w:w="368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□企业资质标准改革</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□体制改革</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□招投标管理</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□施工图审查</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□全过程工程咨询</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□工程总承包</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□建筑师负责制</w:t>
            </w:r>
          </w:p>
        </w:tc>
        <w:tc>
          <w:tcPr>
            <w:shd w:val="clear" w:color="auto" w:fill="FFFFFF"/>
            <w:vAlign w:val="center"/>
          </w:tcPr>
          <w:p>
            <w:pPr>
              <w:bidi w:val="0"/>
              <w:jc w:val="left"/>
              <w:rPr>
                <w:rFonts w:ascii="Microsoft YaHei" w:eastAsia="Microsoft YaHei" w:hAnsi="Microsoft YaHei" w:cs="Microsoft YaHei"/>
                <w:b w:val="0"/>
                <w:sz w:val="28"/>
              </w:rPr>
            </w:pPr>
          </w:p>
        </w:tc>
      </w:tr>
    </w:tbl>
    <w:p/>
    <w:p>
      <w:pPr>
        <w:bidi w:val="0"/>
        <w:spacing w:line="360" w:lineRule="auto"/>
      </w:pPr>
      <w:r>
        <w:rPr>
          <w:rStyle w:val="DefaultParagraphFont"/>
          <w:bdr w:val="nil"/>
          <w:rtl w:val="0"/>
        </w:rPr>
        <w:t>27. 2021年，贵单位更加关注以下哪些行业热点与市场空间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3680"/>
        <w:gridCol w:w="368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□全国化布局</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□城市群建设</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□城市更新</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□智慧领域（智慧建筑、城市、交通等）</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□智能化、数字化</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□全过程工程咨询</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□工程总承包</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□建筑工业化、产业化</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□建筑师负责制</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□海外业务开拓</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□生态环保领域</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 _________________</w:t>
            </w:r>
          </w:p>
        </w:tc>
      </w:tr>
    </w:tbl>
    <w:p/>
    <w:p>
      <w:pPr>
        <w:bidi w:val="0"/>
        <w:spacing w:line="360" w:lineRule="auto"/>
      </w:pPr>
      <w:r>
        <w:rPr>
          <w:rStyle w:val="DefaultParagraphFont"/>
          <w:bdr w:val="nil"/>
          <w:rtl w:val="0"/>
        </w:rPr>
        <w:t>28. 2021年，贵单位在企业管理方面急需提升以下哪些内容 [多选题]</w:t>
      </w:r>
    </w:p>
    <w:tbl>
      <w:tblPr>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
      <w:tblGrid>
        <w:gridCol w:w="3680"/>
        <w:gridCol w:w="3680"/>
      </w:tblGrid>
      <w:tr>
        <w:tblPrEx>
          <w:tblW w:w="5000" w:type="pct"/>
          <w:jc w:val="lef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CellMar>
            <w:top w:w="140" w:type="dxa"/>
            <w:left w:w="108" w:type="dxa"/>
            <w:right w:w="108" w:type="dxa"/>
          </w:tblCellMar>
        </w:tblPrEx>
        <w:trPr>
          <w:trHeight w:val="500"/>
          <w:jc w:val="left"/>
        </w:trPr>
        <w:tc>
          <w:tcPr>
            <w:shd w:val="clear" w:color="auto" w:fill="FFFFFF"/>
            <w:vAlign w:val="center"/>
          </w:tcPr>
          <w:p>
            <w:pPr>
              <w:bidi w:val="0"/>
              <w:jc w:val="left"/>
            </w:pPr>
            <w:r>
              <w:rPr>
                <w:rStyle w:val="DefaultParagraphFont"/>
                <w:sz w:val="24"/>
                <w:szCs w:val="24"/>
                <w:bdr w:val="nil"/>
                <w:rtl w:val="0"/>
              </w:rPr>
              <w:t>□战略管理</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□人才发展</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□项目管理</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□公司治理</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□产品管理</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□组织运营</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□市场营销</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□投融资管理</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□客户关系管理</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□科研管理</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□企业文化</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□品牌管理</w:t>
            </w:r>
          </w:p>
        </w:tc>
      </w:tr>
      <w:tr>
        <w:tblPrEx>
          <w:tblW w:w="5000" w:type="pct"/>
          <w:jc w:val="left"/>
          <w:tblLayout w:type="fixed"/>
          <w:tblCellMar>
            <w:top w:w="140" w:type="dxa"/>
            <w:left w:w="108" w:type="dxa"/>
            <w:right w:w="108" w:type="dxa"/>
          </w:tblCellMar>
        </w:tblPrEx>
        <w:trPr>
          <w:trHeight w:val="500"/>
          <w:jc w:val="left"/>
        </w:trPr>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□风险管控</w:t>
            </w:r>
          </w:p>
        </w:tc>
        <w:tc>
          <w:tcPr>
            <w:shd w:val="clear" w:color="auto" w:fill="FFFFFF"/>
            <w:vAlign w:val="center"/>
          </w:tcPr>
          <w:p>
            <w:pPr>
              <w:bidi w:val="0"/>
              <w:jc w:val="left"/>
              <w:rPr>
                <w:rFonts w:ascii="Microsoft YaHei" w:eastAsia="Microsoft YaHei" w:hAnsi="Microsoft YaHei" w:cs="Microsoft YaHei"/>
                <w:b w:val="0"/>
                <w:sz w:val="28"/>
              </w:rPr>
            </w:pPr>
            <w:r>
              <w:rPr>
                <w:rStyle w:val="DefaultParagraphFont"/>
                <w:sz w:val="24"/>
                <w:szCs w:val="24"/>
                <w:bdr w:val="nil"/>
                <w:rtl w:val="0"/>
              </w:rPr>
              <w:t>□其他 _________________</w:t>
            </w:r>
          </w:p>
        </w:tc>
      </w:tr>
    </w:tbl>
    <w:p/>
    <w:p>
      <w:pPr>
        <w:bidi w:val="0"/>
        <w:spacing w:line="360" w:lineRule="auto"/>
      </w:pPr>
      <w:r>
        <w:rPr>
          <w:rStyle w:val="DefaultParagraphFont"/>
          <w:bdr w:val="nil"/>
          <w:rtl w:val="0"/>
        </w:rPr>
        <w:t>29. 贵单位未来一段时间的工作重点或是关注的领域有哪些？对于行业的发展态势有哪些判断？ [填空题]</w:t>
      </w:r>
    </w:p>
    <w:p>
      <w:r>
        <w:t>_________________________________</w:t>
      </w:r>
    </w:p>
    <w:p/>
    <w:p>
      <w:pPr>
        <w:bidi w:val="0"/>
      </w:pPr>
      <w:r>
        <w:rPr>
          <w:rStyle w:val="DefaultParagraphFont"/>
          <w:bdr w:val="nil"/>
          <w:rtl w:val="0"/>
        </w:rPr>
        <w:t>30. 联系方式[矩阵文本题]</w:t>
      </w:r>
    </w:p>
    <w:p>
      <w:pPr>
        <w:pBdr>
          <w:left w:val="nil"/>
        </w:pBdr>
        <w:bidi w:val="0"/>
        <w:spacing w:before="75" w:beforeAutospacing="0" w:after="75" w:afterAutospacing="0"/>
        <w:ind w:left="180"/>
      </w:pPr>
      <w:r>
        <w:rPr>
          <w:rStyle w:val="DefaultParagraphFont"/>
          <w:color w:val="999999"/>
          <w:bdr w:val="nil"/>
          <w:rtl w:val="0"/>
        </w:rPr>
        <w:t>请留下联系方式，以便后续将调研结果反馈给您，谢谢！</w:t>
      </w:r>
    </w:p>
    <w:tbl>
      <w:tblPr>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
      <w:tblGrid>
        <w:gridCol w:w="1200"/>
        <w:gridCol w:w="7400"/>
      </w:tblGrid>
      <w:tr>
        <w:tblPrEx>
          <w:tblW w:w="5000" w:type="pct"/>
          <w:jc w:val="lef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left w:w="108" w:type="dxa"/>
            <w:right w:w="108" w:type="dxa"/>
          </w:tblCellMar>
        </w:tblPrEx>
        <w:trPr>
          <w:trHeight w:val="360"/>
          <w:jc w:val="left"/>
        </w:trPr>
        <w:tc>
          <w:tcPr>
            <w:shd w:val="clear" w:color="auto" w:fill="D9E5ED"/>
            <w:vAlign w:val="center"/>
          </w:tcPr>
          <w:p>
            <w:pPr>
              <w:jc w:val="center"/>
            </w:pPr>
          </w:p>
        </w:tc>
        <w:tc>
          <w:tcPr>
            <w:shd w:val="clear" w:color="auto" w:fill="D9E5ED"/>
            <w:vAlign w:val="center"/>
          </w:tcPr>
          <w:p>
            <w:pPr>
              <w:spacing w:line="360" w:lineRule="auto"/>
              <w:jc w:val="center"/>
            </w:pP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pPr>
            <w:r>
              <w:rPr>
                <w:color w:val="333333"/>
              </w:rPr>
              <w:t>单位</w:t>
            </w:r>
          </w:p>
        </w:tc>
        <w:tc>
          <w:tcPr>
            <w:shd w:val="clear" w:color="auto" w:fill="FFFFFF"/>
            <w:vAlign w:val="center"/>
          </w:tcPr>
          <w:p>
            <w:pPr>
              <w:spacing w:line="360" w:lineRule="auto"/>
              <w:jc w:val="center"/>
              <w:rPr>
                <w:color w:val="333333"/>
              </w:rPr>
            </w:pPr>
            <w:r>
              <w:rPr>
                <w:color w:val="333333"/>
              </w:rPr>
              <w:t>________________________</w:t>
            </w:r>
          </w:p>
        </w:tc>
      </w:tr>
      <w:tr>
        <w:tblPrEx>
          <w:tblW w:w="5000" w:type="pct"/>
          <w:jc w:val="left"/>
          <w:tblLayout w:type="fixed"/>
          <w:tblCellMar>
            <w:top w:w="140" w:type="dxa"/>
            <w:left w:w="108" w:type="dxa"/>
            <w:right w:w="108" w:type="dxa"/>
          </w:tblCellMar>
        </w:tblPrEx>
        <w:trPr>
          <w:trHeight w:val="360"/>
          <w:jc w:val="left"/>
        </w:trPr>
        <w:tc>
          <w:tcPr>
            <w:shd w:val="clear" w:color="auto" w:fill="EFF6FB"/>
            <w:vAlign w:val="center"/>
          </w:tcPr>
          <w:p>
            <w:pPr>
              <w:spacing w:line="360" w:lineRule="auto"/>
              <w:jc w:val="center"/>
              <w:rPr>
                <w:color w:val="333333"/>
              </w:rPr>
            </w:pPr>
            <w:r>
              <w:rPr>
                <w:color w:val="333333"/>
              </w:rPr>
              <w:t>姓名</w:t>
            </w:r>
          </w:p>
        </w:tc>
        <w:tc>
          <w:tcPr>
            <w:shd w:val="clear" w:color="auto" w:fill="EFF6FB"/>
            <w:vAlign w:val="center"/>
          </w:tcPr>
          <w:p>
            <w:pPr>
              <w:spacing w:line="360" w:lineRule="auto"/>
              <w:jc w:val="center"/>
              <w:rPr>
                <w:color w:val="333333"/>
              </w:rPr>
            </w:pPr>
            <w:r>
              <w:rPr>
                <w:color w:val="333333"/>
              </w:rPr>
              <w:t>________________________</w:t>
            </w:r>
          </w:p>
        </w:tc>
      </w:tr>
      <w:tr>
        <w:tblPrEx>
          <w:tblW w:w="5000" w:type="pct"/>
          <w:jc w:val="left"/>
          <w:tblLayout w:type="fixed"/>
          <w:tblCellMar>
            <w:top w:w="140" w:type="dxa"/>
            <w:left w:w="108" w:type="dxa"/>
            <w:right w:w="108" w:type="dxa"/>
          </w:tblCellMar>
        </w:tblPrEx>
        <w:trPr>
          <w:trHeight w:val="360"/>
          <w:jc w:val="left"/>
        </w:trPr>
        <w:tc>
          <w:tcPr>
            <w:shd w:val="clear" w:color="auto" w:fill="FFFFFF"/>
            <w:vAlign w:val="center"/>
          </w:tcPr>
          <w:p>
            <w:pPr>
              <w:spacing w:line="360" w:lineRule="auto"/>
              <w:jc w:val="center"/>
              <w:rPr>
                <w:color w:val="333333"/>
              </w:rPr>
            </w:pPr>
            <w:r>
              <w:rPr>
                <w:color w:val="333333"/>
              </w:rPr>
              <w:t>邮箱</w:t>
            </w:r>
          </w:p>
        </w:tc>
        <w:tc>
          <w:tcPr>
            <w:shd w:val="clear" w:color="auto" w:fill="FFFFFF"/>
            <w:vAlign w:val="center"/>
          </w:tcPr>
          <w:p>
            <w:pPr>
              <w:spacing w:line="360" w:lineRule="auto"/>
              <w:jc w:val="center"/>
              <w:rPr>
                <w:color w:val="333333"/>
              </w:rPr>
            </w:pPr>
            <w:r>
              <w:rPr>
                <w:color w:val="333333"/>
              </w:rPr>
              <w:t>________________________</w:t>
            </w:r>
          </w:p>
        </w:tc>
      </w:tr>
    </w:tbl>
    <w:p/>
    <w:p/>
    <w:sectPr>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rPr>
      <w:sz w:val="24"/>
      <w:szCs w:val="24"/>
      <w:bdr w:val="nil"/>
    </w:rPr>
  </w:style>
  <w:style w:type="paragraph" w:styleId="Heading1">
    <w:name w:val="heading 1"/>
    <w:basedOn w:val="Normal"/>
    <w:next w:val="Normal"/>
    <w:qFormat/>
    <w:rsid w:val="00EF7B96"/>
    <w:pPr>
      <w:keepNext/>
      <w:spacing w:before="240" w:after="60"/>
      <w:outlineLvl w:val="0"/>
    </w:pPr>
    <w:rPr>
      <w:rFonts w:ascii="Times New Roman" w:eastAsia="Times New Roman" w:hAnsi="Times New Roman" w:cs="Times New Roman"/>
      <w:b/>
      <w:bCs/>
      <w:i w:val="0"/>
      <w:kern w:val="32"/>
      <w:sz w:val="48"/>
      <w:szCs w:val="48"/>
      <w:bdr w:val="nil"/>
    </w:rPr>
  </w:style>
  <w:style w:type="paragraph" w:styleId="Heading2">
    <w:name w:val="heading 2"/>
    <w:basedOn w:val="Normal"/>
    <w:next w:val="Normal"/>
    <w:qFormat/>
    <w:rsid w:val="00EF7B96"/>
    <w:pPr>
      <w:keepNext/>
      <w:spacing w:before="240" w:after="60"/>
      <w:outlineLvl w:val="1"/>
    </w:pPr>
    <w:rPr>
      <w:rFonts w:ascii="Times New Roman" w:eastAsia="Times New Roman" w:hAnsi="Times New Roman" w:cs="Times New Roman"/>
      <w:b/>
      <w:bCs/>
      <w:i w:val="0"/>
      <w:iCs/>
      <w:sz w:val="36"/>
      <w:szCs w:val="36"/>
      <w:bdr w:val="nil"/>
    </w:rPr>
  </w:style>
  <w:style w:type="paragraph" w:styleId="Heading3">
    <w:name w:val="heading 3"/>
    <w:basedOn w:val="Normal"/>
    <w:next w:val="Normal"/>
    <w:qFormat/>
    <w:rsid w:val="00EF7B96"/>
    <w:pPr>
      <w:keepNext/>
      <w:spacing w:before="240" w:after="60"/>
      <w:outlineLvl w:val="2"/>
    </w:pPr>
    <w:rPr>
      <w:rFonts w:ascii="Times New Roman" w:eastAsia="Times New Roman" w:hAnsi="Times New Roman" w:cs="Times New Roman"/>
      <w:b/>
      <w:bCs/>
      <w:i w:val="0"/>
      <w:sz w:val="28"/>
      <w:szCs w:val="28"/>
      <w:bdr w:val="nil"/>
    </w:rPr>
  </w:style>
  <w:style w:type="paragraph" w:styleId="Heading4">
    <w:name w:val="heading 4"/>
    <w:basedOn w:val="Normal"/>
    <w:next w:val="Normal"/>
    <w:qFormat/>
    <w:rsid w:val="00EF7B96"/>
    <w:pPr>
      <w:keepNext/>
      <w:spacing w:before="240" w:after="60"/>
      <w:outlineLvl w:val="3"/>
    </w:pPr>
    <w:rPr>
      <w:rFonts w:ascii="Times New Roman" w:eastAsia="Times New Roman" w:hAnsi="Times New Roman" w:cs="Times New Roman"/>
      <w:b/>
      <w:bCs/>
      <w:i w:val="0"/>
      <w:sz w:val="24"/>
      <w:szCs w:val="24"/>
      <w:bdr w:val="nil"/>
    </w:rPr>
  </w:style>
  <w:style w:type="paragraph" w:styleId="Heading5">
    <w:name w:val="heading 5"/>
    <w:basedOn w:val="Normal"/>
    <w:next w:val="Normal"/>
    <w:qFormat/>
    <w:rsid w:val="00EF7B96"/>
    <w:pPr>
      <w:spacing w:before="240" w:after="60"/>
      <w:outlineLvl w:val="4"/>
    </w:pPr>
    <w:rPr>
      <w:rFonts w:ascii="Times New Roman" w:eastAsia="Times New Roman" w:hAnsi="Times New Roman" w:cs="Times New Roman"/>
      <w:b/>
      <w:bCs/>
      <w:i w:val="0"/>
      <w:iCs/>
      <w:sz w:val="20"/>
      <w:szCs w:val="20"/>
      <w:bdr w:val="nil"/>
    </w:rPr>
  </w:style>
  <w:style w:type="paragraph" w:styleId="Heading6">
    <w:name w:val="heading 6"/>
    <w:basedOn w:val="Normal"/>
    <w:next w:val="Normal"/>
    <w:qFormat/>
    <w:rsid w:val="00EF7B96"/>
    <w:pPr>
      <w:spacing w:before="240" w:after="60"/>
      <w:outlineLvl w:val="5"/>
    </w:pPr>
    <w:rPr>
      <w:rFonts w:ascii="Times New Roman" w:eastAsia="Times New Roman" w:hAnsi="Times New Roman" w:cs="Times New Roman"/>
      <w:b/>
      <w:bCs/>
      <w:i w:val="0"/>
      <w:sz w:val="16"/>
      <w:szCs w:val="16"/>
      <w:bdr w:val="nil"/>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